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90" w:rsidRPr="00D56C90" w:rsidRDefault="00D56C90" w:rsidP="00D5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C90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D56C90" w:rsidRPr="00D56C90" w:rsidRDefault="00D56C90" w:rsidP="00D5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C90"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</w:p>
    <w:p w:rsidR="00D56C90" w:rsidRPr="00D56C90" w:rsidRDefault="00D56C90" w:rsidP="00D5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C90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D56C90" w:rsidRPr="00D56C90" w:rsidRDefault="00D56C90" w:rsidP="00D56C90">
      <w:pPr>
        <w:tabs>
          <w:tab w:val="left" w:pos="41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6C90" w:rsidRPr="00D56C90" w:rsidRDefault="00D56C90" w:rsidP="00D56C90">
      <w:pPr>
        <w:tabs>
          <w:tab w:val="left" w:pos="41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6C9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648E4" w:rsidRPr="00D56C90" w:rsidRDefault="006527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center"/>
      </w:pPr>
      <w:r w:rsidRPr="006527AD">
        <w:rPr>
          <w:rFonts w:ascii="Times New Roman" w:eastAsia="Arial" w:hAnsi="Times New Roman" w:cs="Times New Roman"/>
          <w:sz w:val="28"/>
          <w:szCs w:val="28"/>
        </w:rPr>
        <w:t>от 15.02.</w:t>
      </w:r>
      <w:r w:rsidR="00777739" w:rsidRPr="006527AD">
        <w:rPr>
          <w:rFonts w:ascii="Times New Roman" w:eastAsia="Arial" w:hAnsi="Times New Roman" w:cs="Times New Roman"/>
          <w:sz w:val="28"/>
          <w:szCs w:val="28"/>
        </w:rPr>
        <w:t>2023</w:t>
      </w:r>
      <w:r w:rsidR="00777739" w:rsidRPr="00D56C90">
        <w:rPr>
          <w:rFonts w:ascii="Times New Roman" w:eastAsia="Arial" w:hAnsi="Times New Roman" w:cs="Times New Roman"/>
          <w:sz w:val="28"/>
          <w:szCs w:val="28"/>
        </w:rPr>
        <w:t xml:space="preserve"> г.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777739" w:rsidRPr="00D56C90">
        <w:rPr>
          <w:rFonts w:ascii="Times New Roman" w:eastAsia="Arial" w:hAnsi="Times New Roman" w:cs="Times New Roman"/>
          <w:sz w:val="28"/>
          <w:szCs w:val="28"/>
        </w:rPr>
        <w:t xml:space="preserve"> №</w:t>
      </w:r>
      <w:r>
        <w:rPr>
          <w:rFonts w:ascii="Times New Roman" w:eastAsia="Arial" w:hAnsi="Times New Roman" w:cs="Times New Roman"/>
          <w:sz w:val="28"/>
          <w:szCs w:val="28"/>
        </w:rPr>
        <w:t>9</w:t>
      </w:r>
    </w:p>
    <w:p w:rsidR="005648E4" w:rsidRPr="00D56C90" w:rsidRDefault="007777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center"/>
        <w:rPr>
          <w:b/>
        </w:rPr>
      </w:pPr>
      <w:r w:rsidRPr="00D56C90">
        <w:rPr>
          <w:rFonts w:ascii="Times New Roman" w:eastAsia="Arial" w:hAnsi="Times New Roman" w:cs="Times New Roman"/>
          <w:b/>
          <w:sz w:val="28"/>
          <w:szCs w:val="28"/>
        </w:rPr>
        <w:t xml:space="preserve">Об утверждении плана мероприятий </w:t>
      </w:r>
      <w:r w:rsidRPr="00D56C90">
        <w:rPr>
          <w:rFonts w:ascii="Times New Roman" w:hAnsi="Times New Roman" w:cs="Times New Roman"/>
          <w:b/>
          <w:sz w:val="28"/>
          <w:szCs w:val="28"/>
        </w:rPr>
        <w:t>по увеличению налоговых и неналоговых доходов бюджета</w:t>
      </w:r>
      <w:r w:rsidRPr="00D56C90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D56C90" w:rsidRPr="00D56C90">
        <w:rPr>
          <w:rFonts w:ascii="Times New Roman" w:eastAsia="Arial" w:hAnsi="Times New Roman" w:cs="Times New Roman"/>
          <w:b/>
          <w:sz w:val="28"/>
          <w:szCs w:val="28"/>
        </w:rPr>
        <w:t>Березовского</w:t>
      </w:r>
      <w:r w:rsidRPr="00D56C90">
        <w:rPr>
          <w:rFonts w:ascii="Times New Roman" w:eastAsia="Arial" w:hAnsi="Times New Roman" w:cs="Times New Roman"/>
          <w:b/>
          <w:sz w:val="28"/>
          <w:szCs w:val="28"/>
        </w:rPr>
        <w:t xml:space="preserve"> сельсовета Ордынского района Новосибирской  области</w:t>
      </w:r>
    </w:p>
    <w:p w:rsidR="005648E4" w:rsidRPr="00D56C90" w:rsidRDefault="007777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C90">
        <w:rPr>
          <w:rFonts w:ascii="Times New Roman" w:hAnsi="Times New Roman" w:cs="Times New Roman"/>
          <w:sz w:val="28"/>
          <w:szCs w:val="28"/>
        </w:rPr>
        <w:t xml:space="preserve">В целях повышения налогового потенциала, оптимизации расходов, в соответствии с планом социально-экономического развития муниципального образования </w:t>
      </w:r>
      <w:r w:rsidR="00D56C90">
        <w:rPr>
          <w:rFonts w:ascii="Times New Roman" w:eastAsia="Arial" w:hAnsi="Times New Roman" w:cs="Times New Roman"/>
          <w:sz w:val="28"/>
          <w:szCs w:val="28"/>
        </w:rPr>
        <w:t>Березовского</w:t>
      </w:r>
      <w:r w:rsidR="00D56C90" w:rsidRPr="00D56C9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56C90">
        <w:rPr>
          <w:rFonts w:ascii="Times New Roman" w:hAnsi="Times New Roman" w:cs="Times New Roman"/>
          <w:sz w:val="28"/>
          <w:szCs w:val="28"/>
        </w:rPr>
        <w:t xml:space="preserve">сельсовета Ордынского района Новосибирской области, руководствуясь Уставом сельского поселения </w:t>
      </w:r>
      <w:r w:rsidR="00D56C90">
        <w:rPr>
          <w:rFonts w:ascii="Times New Roman" w:eastAsia="Arial" w:hAnsi="Times New Roman" w:cs="Times New Roman"/>
          <w:sz w:val="28"/>
          <w:szCs w:val="28"/>
        </w:rPr>
        <w:t>Березовского</w:t>
      </w:r>
      <w:r w:rsidR="00D56C90" w:rsidRPr="00D56C9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56C90">
        <w:rPr>
          <w:rFonts w:ascii="Times New Roman" w:hAnsi="Times New Roman" w:cs="Times New Roman"/>
          <w:sz w:val="28"/>
          <w:szCs w:val="28"/>
        </w:rPr>
        <w:t xml:space="preserve">сельсовета Ордынского муниципального района Новосибирской области, </w:t>
      </w:r>
      <w:r w:rsidRPr="00D56C90">
        <w:rPr>
          <w:rFonts w:ascii="Times New Roman" w:eastAsia="Arial" w:hAnsi="Times New Roman" w:cs="Times New Roman"/>
          <w:sz w:val="28"/>
          <w:szCs w:val="28"/>
        </w:rPr>
        <w:t xml:space="preserve">администрация </w:t>
      </w:r>
      <w:r w:rsidR="00D56C90">
        <w:rPr>
          <w:rFonts w:ascii="Times New Roman" w:eastAsia="Arial" w:hAnsi="Times New Roman" w:cs="Times New Roman"/>
          <w:sz w:val="28"/>
          <w:szCs w:val="28"/>
        </w:rPr>
        <w:t>Березовского</w:t>
      </w:r>
      <w:r w:rsidR="00D56C90" w:rsidRPr="00D56C9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56C90">
        <w:rPr>
          <w:rFonts w:ascii="Times New Roman" w:eastAsia="Arial" w:hAnsi="Times New Roman" w:cs="Times New Roman"/>
          <w:sz w:val="28"/>
          <w:szCs w:val="28"/>
        </w:rPr>
        <w:t>сельсовета Ордынского района Новосибирской области</w:t>
      </w:r>
    </w:p>
    <w:p w:rsidR="005648E4" w:rsidRPr="00D56C90" w:rsidRDefault="00D56C90">
      <w:pPr>
        <w:pStyle w:val="af3"/>
        <w:jc w:val="both"/>
      </w:pPr>
      <w:r w:rsidRPr="00D56C90">
        <w:rPr>
          <w:rFonts w:ascii="Times New Roman" w:eastAsia="Arial" w:hAnsi="Times New Roman" w:cs="Times New Roman"/>
          <w:b/>
          <w:bCs/>
          <w:sz w:val="28"/>
          <w:szCs w:val="28"/>
        </w:rPr>
        <w:t>ПОСТАНОВЛЯЕТ:</w:t>
      </w:r>
    </w:p>
    <w:p w:rsidR="005648E4" w:rsidRPr="00D56C90" w:rsidRDefault="00777739">
      <w:pPr>
        <w:pStyle w:val="af3"/>
        <w:ind w:firstLine="708"/>
        <w:jc w:val="both"/>
      </w:pPr>
      <w:r w:rsidRPr="00D56C90">
        <w:rPr>
          <w:rFonts w:ascii="Times New Roman" w:eastAsia="Arial" w:hAnsi="Times New Roman" w:cs="Times New Roman"/>
          <w:sz w:val="28"/>
          <w:szCs w:val="28"/>
        </w:rPr>
        <w:t xml:space="preserve">1.Утвердить план мероприятий </w:t>
      </w:r>
      <w:r w:rsidRPr="00D56C90">
        <w:rPr>
          <w:rFonts w:ascii="Times New Roman" w:hAnsi="Times New Roman" w:cs="Times New Roman"/>
          <w:sz w:val="28"/>
          <w:szCs w:val="28"/>
        </w:rPr>
        <w:t>по увеличению налоговых и неналоговых доходов бюджета</w:t>
      </w:r>
      <w:r w:rsidRPr="00D56C9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56C90">
        <w:rPr>
          <w:rFonts w:ascii="Times New Roman" w:eastAsia="Arial" w:hAnsi="Times New Roman" w:cs="Times New Roman"/>
          <w:sz w:val="28"/>
          <w:szCs w:val="28"/>
        </w:rPr>
        <w:t>Березовского</w:t>
      </w:r>
      <w:r w:rsidR="00D56C90" w:rsidRPr="00D56C9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56C90">
        <w:rPr>
          <w:rFonts w:ascii="Times New Roman" w:eastAsia="Arial" w:hAnsi="Times New Roman" w:cs="Times New Roman"/>
          <w:sz w:val="28"/>
          <w:szCs w:val="28"/>
        </w:rPr>
        <w:t>сельсовета Ордынского района Новосибирской  областисогласно приложению к настоящему постановлению.</w:t>
      </w:r>
    </w:p>
    <w:p w:rsidR="005648E4" w:rsidRPr="00D56C90" w:rsidRDefault="007777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jc w:val="both"/>
      </w:pPr>
      <w:r w:rsidRPr="00D56C90">
        <w:rPr>
          <w:rFonts w:ascii="Times New Roman" w:eastAsia="Times New Roman" w:hAnsi="Times New Roman" w:cs="Times New Roman"/>
          <w:sz w:val="28"/>
          <w:szCs w:val="28"/>
        </w:rPr>
        <w:t xml:space="preserve">         2.Опубликовать настоящее постановление в периодическом печатном издании органов местного самоуправления </w:t>
      </w:r>
      <w:r w:rsidR="00D56C90">
        <w:rPr>
          <w:rFonts w:ascii="Times New Roman" w:eastAsia="Arial" w:hAnsi="Times New Roman" w:cs="Times New Roman"/>
          <w:sz w:val="28"/>
          <w:szCs w:val="28"/>
        </w:rPr>
        <w:t>Березовского</w:t>
      </w:r>
      <w:r w:rsidR="00D56C90" w:rsidRPr="00D56C9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56C90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D56C90">
        <w:rPr>
          <w:rFonts w:ascii="Times New Roman" w:eastAsia="Times New Roman" w:hAnsi="Times New Roman" w:cs="Times New Roman"/>
          <w:sz w:val="28"/>
        </w:rPr>
        <w:t>а Ордынского района Новосибирской области «</w:t>
      </w:r>
      <w:r w:rsidR="00D56C90">
        <w:rPr>
          <w:rFonts w:ascii="Times New Roman" w:eastAsia="Times New Roman" w:hAnsi="Times New Roman" w:cs="Times New Roman"/>
          <w:sz w:val="28"/>
        </w:rPr>
        <w:t>Вестник</w:t>
      </w:r>
      <w:r w:rsidRPr="00D56C90">
        <w:rPr>
          <w:rFonts w:ascii="Times New Roman" w:eastAsia="Times New Roman" w:hAnsi="Times New Roman" w:cs="Times New Roman"/>
          <w:sz w:val="28"/>
        </w:rPr>
        <w:t xml:space="preserve">» и разместить на официальном сайте администрации </w:t>
      </w:r>
      <w:r w:rsidR="00D56C90">
        <w:rPr>
          <w:rFonts w:ascii="Times New Roman" w:eastAsia="Arial" w:hAnsi="Times New Roman" w:cs="Times New Roman"/>
          <w:sz w:val="28"/>
          <w:szCs w:val="28"/>
        </w:rPr>
        <w:t>Березовского</w:t>
      </w:r>
      <w:r w:rsidR="00D56C90" w:rsidRPr="00D56C9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56C90">
        <w:rPr>
          <w:rFonts w:ascii="Times New Roman" w:eastAsia="Times New Roman" w:hAnsi="Times New Roman" w:cs="Times New Roman"/>
          <w:sz w:val="28"/>
        </w:rPr>
        <w:t>сельсовета Ордынского района Новосибирской области в информационно-телекоммуникационной сети «Интернет».</w:t>
      </w:r>
    </w:p>
    <w:p w:rsidR="005648E4" w:rsidRPr="00D56C90" w:rsidRDefault="007777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1134"/>
        </w:tabs>
        <w:spacing w:after="0"/>
        <w:jc w:val="both"/>
      </w:pPr>
      <w:r w:rsidRPr="00D56C90">
        <w:rPr>
          <w:rFonts w:ascii="Times New Roman" w:eastAsia="Times New Roman" w:hAnsi="Times New Roman" w:cs="Times New Roman"/>
          <w:sz w:val="28"/>
        </w:rPr>
        <w:t xml:space="preserve">      3.Контроль за исполнением настоящего постановления </w:t>
      </w:r>
      <w:r w:rsidR="00D56C90">
        <w:rPr>
          <w:rFonts w:ascii="Times New Roman" w:eastAsia="Times New Roman" w:hAnsi="Times New Roman" w:cs="Times New Roman"/>
          <w:sz w:val="28"/>
        </w:rPr>
        <w:t>оставляю за собой</w:t>
      </w:r>
      <w:r w:rsidRPr="00D56C90">
        <w:rPr>
          <w:rFonts w:ascii="Times New Roman" w:eastAsia="Times New Roman" w:hAnsi="Times New Roman" w:cs="Times New Roman"/>
          <w:sz w:val="28"/>
        </w:rPr>
        <w:t>.</w:t>
      </w:r>
    </w:p>
    <w:p w:rsidR="005648E4" w:rsidRPr="00D56C90" w:rsidRDefault="007777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5666"/>
        </w:tabs>
        <w:spacing w:after="0"/>
      </w:pPr>
      <w:r w:rsidRPr="00D56C90">
        <w:rPr>
          <w:rFonts w:ascii="Times New Roman" w:eastAsia="Times New Roman" w:hAnsi="Times New Roman" w:cs="Times New Roman"/>
          <w:spacing w:val="-3"/>
          <w:sz w:val="28"/>
        </w:rPr>
        <w:t> </w:t>
      </w:r>
    </w:p>
    <w:p w:rsidR="005648E4" w:rsidRPr="00D56C90" w:rsidRDefault="007777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5666"/>
        </w:tabs>
        <w:spacing w:after="0"/>
      </w:pPr>
      <w:r w:rsidRPr="00D56C90">
        <w:rPr>
          <w:rFonts w:ascii="Times New Roman" w:eastAsia="Times New Roman" w:hAnsi="Times New Roman" w:cs="Times New Roman"/>
          <w:spacing w:val="-3"/>
          <w:sz w:val="28"/>
        </w:rPr>
        <w:t xml:space="preserve">Глава </w:t>
      </w:r>
      <w:r w:rsidR="00D56C90">
        <w:rPr>
          <w:rFonts w:ascii="Times New Roman" w:eastAsia="Arial" w:hAnsi="Times New Roman" w:cs="Times New Roman"/>
          <w:sz w:val="28"/>
          <w:szCs w:val="28"/>
        </w:rPr>
        <w:t>Березовского</w:t>
      </w:r>
      <w:r w:rsidR="00D56C90" w:rsidRPr="00D56C9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56C90">
        <w:rPr>
          <w:rFonts w:ascii="Times New Roman" w:eastAsia="Times New Roman" w:hAnsi="Times New Roman" w:cs="Times New Roman"/>
          <w:spacing w:val="-3"/>
          <w:sz w:val="28"/>
        </w:rPr>
        <w:t>сельсовета</w:t>
      </w:r>
    </w:p>
    <w:p w:rsidR="005648E4" w:rsidRPr="00D56C90" w:rsidRDefault="007777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5666"/>
        </w:tabs>
        <w:spacing w:after="0"/>
      </w:pPr>
      <w:r w:rsidRPr="00D56C90">
        <w:rPr>
          <w:rFonts w:ascii="Times New Roman" w:eastAsia="Times New Roman" w:hAnsi="Times New Roman" w:cs="Times New Roman"/>
          <w:spacing w:val="-3"/>
          <w:sz w:val="28"/>
        </w:rPr>
        <w:t>Ордынского района</w:t>
      </w:r>
      <w:r w:rsidRPr="00D56C90">
        <w:rPr>
          <w:rFonts w:ascii="Times New Roman" w:eastAsia="Times New Roman" w:hAnsi="Times New Roman" w:cs="Times New Roman"/>
          <w:sz w:val="28"/>
        </w:rPr>
        <w:tab/>
      </w:r>
    </w:p>
    <w:p w:rsidR="005648E4" w:rsidRPr="00D56C90" w:rsidRDefault="007777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4954"/>
          <w:tab w:val="left" w:pos="7502"/>
        </w:tabs>
        <w:spacing w:after="0"/>
        <w:ind w:left="22"/>
      </w:pPr>
      <w:r w:rsidRPr="00D56C90">
        <w:rPr>
          <w:rFonts w:ascii="Times New Roman" w:eastAsia="Times New Roman" w:hAnsi="Times New Roman" w:cs="Times New Roman"/>
          <w:spacing w:val="-5"/>
          <w:sz w:val="28"/>
        </w:rPr>
        <w:t>Новосибирской области</w:t>
      </w:r>
      <w:r w:rsidRPr="00D56C90">
        <w:rPr>
          <w:rFonts w:ascii="Times New Roman" w:eastAsia="Times New Roman" w:hAnsi="Times New Roman" w:cs="Times New Roman"/>
          <w:sz w:val="28"/>
        </w:rPr>
        <w:tab/>
        <w:t>                                  </w:t>
      </w:r>
      <w:r w:rsidR="00D56C90">
        <w:rPr>
          <w:rFonts w:ascii="Times New Roman" w:eastAsia="Times New Roman" w:hAnsi="Times New Roman" w:cs="Times New Roman"/>
          <w:spacing w:val="-2"/>
          <w:sz w:val="28"/>
        </w:rPr>
        <w:t>Л.А.Шушкова</w:t>
      </w:r>
    </w:p>
    <w:p w:rsidR="005648E4" w:rsidRPr="00D56C90" w:rsidRDefault="005648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</w:pPr>
    </w:p>
    <w:p w:rsidR="005648E4" w:rsidRPr="00D56C90" w:rsidRDefault="005648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rPr>
          <w:rFonts w:ascii="Arial" w:eastAsia="Arial" w:hAnsi="Arial" w:cs="Arial"/>
          <w:sz w:val="23"/>
          <w:szCs w:val="23"/>
        </w:rPr>
      </w:pPr>
    </w:p>
    <w:p w:rsidR="005648E4" w:rsidRPr="00D56C90" w:rsidRDefault="00777739">
      <w:pPr>
        <w:pStyle w:val="af3"/>
        <w:ind w:right="1135"/>
        <w:jc w:val="right"/>
        <w:rPr>
          <w:rFonts w:ascii="Times New Roman" w:hAnsi="Times New Roman" w:cs="Times New Roman"/>
          <w:sz w:val="24"/>
          <w:szCs w:val="24"/>
        </w:rPr>
      </w:pPr>
      <w:r w:rsidRPr="00D56C90">
        <w:br/>
      </w:r>
    </w:p>
    <w:p w:rsidR="005648E4" w:rsidRPr="00D56C90" w:rsidRDefault="00777739">
      <w:pPr>
        <w:pStyle w:val="af3"/>
        <w:jc w:val="right"/>
      </w:pPr>
      <w:r w:rsidRPr="00D56C90">
        <w:br/>
      </w:r>
    </w:p>
    <w:p w:rsidR="005648E4" w:rsidRPr="00D56C90" w:rsidRDefault="005648E4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p w:rsidR="005648E4" w:rsidRPr="00D56C90" w:rsidRDefault="005648E4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p w:rsidR="005648E4" w:rsidRPr="00D56C90" w:rsidRDefault="00777739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 w:rsidRPr="00D56C9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48E4" w:rsidRPr="00D56C90" w:rsidRDefault="00777739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 w:rsidRPr="00D56C90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5648E4" w:rsidRPr="00D56C90" w:rsidRDefault="00777739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 w:rsidRPr="00D56C9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5648E4" w:rsidRPr="00D56C90" w:rsidRDefault="00D56C90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 w:rsidRPr="00D56C90">
        <w:rPr>
          <w:rFonts w:ascii="Times New Roman" w:eastAsia="Arial" w:hAnsi="Times New Roman" w:cs="Times New Roman"/>
          <w:sz w:val="24"/>
          <w:szCs w:val="24"/>
        </w:rPr>
        <w:t xml:space="preserve">Березовского </w:t>
      </w:r>
      <w:r w:rsidR="00777739" w:rsidRPr="00D56C90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5648E4" w:rsidRPr="00D56C90" w:rsidRDefault="00777739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 w:rsidRPr="00D56C90">
        <w:rPr>
          <w:rFonts w:ascii="Times New Roman" w:hAnsi="Times New Roman" w:cs="Times New Roman"/>
          <w:sz w:val="24"/>
          <w:szCs w:val="24"/>
        </w:rPr>
        <w:t xml:space="preserve">Ордынского района </w:t>
      </w:r>
    </w:p>
    <w:p w:rsidR="005648E4" w:rsidRPr="00D56C90" w:rsidRDefault="00777739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 w:rsidRPr="00D56C9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648E4" w:rsidRPr="00D56C90" w:rsidRDefault="00777739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 w:rsidRPr="00D56C90">
        <w:rPr>
          <w:rFonts w:ascii="Times New Roman" w:hAnsi="Times New Roman" w:cs="Times New Roman"/>
          <w:sz w:val="24"/>
          <w:szCs w:val="24"/>
        </w:rPr>
        <w:t xml:space="preserve">от </w:t>
      </w:r>
      <w:r w:rsidR="006527AD">
        <w:rPr>
          <w:rFonts w:ascii="Times New Roman" w:hAnsi="Times New Roman" w:cs="Times New Roman"/>
          <w:sz w:val="24"/>
          <w:szCs w:val="24"/>
        </w:rPr>
        <w:t>15.02.</w:t>
      </w:r>
      <w:r w:rsidRPr="00D56C90">
        <w:rPr>
          <w:rFonts w:ascii="Times New Roman" w:hAnsi="Times New Roman" w:cs="Times New Roman"/>
          <w:sz w:val="24"/>
          <w:szCs w:val="24"/>
        </w:rPr>
        <w:t xml:space="preserve"> 2023</w:t>
      </w:r>
      <w:r w:rsidR="006527AD">
        <w:rPr>
          <w:rFonts w:ascii="Times New Roman" w:hAnsi="Times New Roman" w:cs="Times New Roman"/>
          <w:sz w:val="24"/>
          <w:szCs w:val="24"/>
        </w:rPr>
        <w:t>г. №9</w:t>
      </w:r>
    </w:p>
    <w:p w:rsidR="005648E4" w:rsidRPr="00D56C90" w:rsidRDefault="005648E4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p w:rsidR="005648E4" w:rsidRPr="008F44C3" w:rsidRDefault="00777739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4C3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увеличению налоговых и неналоговых доходов бюджета </w:t>
      </w:r>
      <w:r w:rsidR="00D56C90" w:rsidRPr="008F44C3">
        <w:rPr>
          <w:rFonts w:ascii="Times New Roman" w:eastAsia="Arial" w:hAnsi="Times New Roman" w:cs="Times New Roman"/>
          <w:b/>
          <w:sz w:val="28"/>
          <w:szCs w:val="28"/>
        </w:rPr>
        <w:t xml:space="preserve">Березовского </w:t>
      </w:r>
      <w:r w:rsidRPr="008F44C3">
        <w:rPr>
          <w:rFonts w:ascii="Times New Roman" w:hAnsi="Times New Roman" w:cs="Times New Roman"/>
          <w:b/>
          <w:sz w:val="28"/>
          <w:szCs w:val="28"/>
        </w:rPr>
        <w:t xml:space="preserve">сельсовета Ордынского района Новосибирской области </w:t>
      </w:r>
    </w:p>
    <w:p w:rsidR="005648E4" w:rsidRPr="00D56C90" w:rsidRDefault="005648E4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653"/>
        <w:gridCol w:w="1701"/>
        <w:gridCol w:w="1701"/>
        <w:gridCol w:w="1701"/>
      </w:tblGrid>
      <w:tr w:rsidR="00D56C90" w:rsidRPr="00D56C90" w:rsidTr="008F44C3">
        <w:trPr>
          <w:trHeight w:val="665"/>
        </w:trPr>
        <w:tc>
          <w:tcPr>
            <w:tcW w:w="708" w:type="dxa"/>
            <w:noWrap/>
          </w:tcPr>
          <w:p w:rsidR="00D56C90" w:rsidRPr="008F44C3" w:rsidRDefault="00D56C90" w:rsidP="00D56C90">
            <w:pPr>
              <w:pStyle w:val="11"/>
              <w:spacing w:before="0" w:beforeAutospacing="0" w:after="0" w:afterAutospacing="0"/>
              <w:rPr>
                <w:rStyle w:val="10"/>
                <w:b w:val="0"/>
                <w:bCs w:val="0"/>
                <w:sz w:val="20"/>
                <w:szCs w:val="20"/>
              </w:rPr>
            </w:pPr>
            <w:r w:rsidRPr="008F44C3">
              <w:rPr>
                <w:rStyle w:val="10"/>
                <w:b w:val="0"/>
                <w:sz w:val="20"/>
                <w:szCs w:val="20"/>
              </w:rPr>
              <w:t>№</w:t>
            </w:r>
          </w:p>
          <w:p w:rsidR="00D56C90" w:rsidRPr="008F44C3" w:rsidRDefault="00D56C90" w:rsidP="00D56C90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 w:rsidRPr="008F44C3">
              <w:rPr>
                <w:rStyle w:val="10"/>
                <w:b w:val="0"/>
                <w:sz w:val="20"/>
                <w:szCs w:val="20"/>
              </w:rPr>
              <w:t>п/п</w:t>
            </w:r>
          </w:p>
        </w:tc>
        <w:tc>
          <w:tcPr>
            <w:tcW w:w="3653" w:type="dxa"/>
            <w:noWrap/>
          </w:tcPr>
          <w:p w:rsidR="00D56C90" w:rsidRPr="008F44C3" w:rsidRDefault="00D56C90" w:rsidP="00D56C90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44C3">
              <w:rPr>
                <w:rStyle w:val="10"/>
                <w:b w:val="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noWrap/>
          </w:tcPr>
          <w:p w:rsidR="00D56C90" w:rsidRPr="008F44C3" w:rsidRDefault="00D56C90" w:rsidP="00D56C90">
            <w:pPr>
              <w:pStyle w:val="1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44C3">
              <w:rPr>
                <w:rStyle w:val="10"/>
                <w:b w:val="0"/>
                <w:sz w:val="20"/>
                <w:szCs w:val="20"/>
              </w:rPr>
              <w:t>Срок реализации</w:t>
            </w:r>
          </w:p>
        </w:tc>
        <w:tc>
          <w:tcPr>
            <w:tcW w:w="1701" w:type="dxa"/>
            <w:noWrap/>
          </w:tcPr>
          <w:p w:rsidR="00D56C90" w:rsidRPr="008F44C3" w:rsidRDefault="00D56C90" w:rsidP="00D56C90">
            <w:pPr>
              <w:pStyle w:val="11"/>
              <w:tabs>
                <w:tab w:val="left" w:pos="1701"/>
                <w:tab w:val="left" w:pos="184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44C3">
              <w:rPr>
                <w:rStyle w:val="10"/>
                <w:b w:val="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  <w:noWrap/>
          </w:tcPr>
          <w:p w:rsidR="00D56C90" w:rsidRPr="008F44C3" w:rsidRDefault="00D56C90" w:rsidP="00D56C90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 w:rsidRPr="008F44C3">
              <w:rPr>
                <w:rStyle w:val="10"/>
                <w:b w:val="0"/>
                <w:sz w:val="20"/>
                <w:szCs w:val="20"/>
              </w:rPr>
              <w:t>Ожидаемый результат</w:t>
            </w:r>
          </w:p>
        </w:tc>
      </w:tr>
      <w:tr w:rsidR="00D56C90" w:rsidRPr="00D56C90" w:rsidTr="00E703A8">
        <w:trPr>
          <w:trHeight w:val="276"/>
        </w:trPr>
        <w:tc>
          <w:tcPr>
            <w:tcW w:w="708" w:type="dxa"/>
            <w:noWrap/>
          </w:tcPr>
          <w:p w:rsidR="00D56C90" w:rsidRPr="00D56C90" w:rsidRDefault="00D56C90">
            <w:pPr>
              <w:pStyle w:val="11"/>
              <w:rPr>
                <w:rStyle w:val="10"/>
                <w:b w:val="0"/>
              </w:rPr>
            </w:pPr>
            <w:r w:rsidRPr="00D56C90">
              <w:rPr>
                <w:rStyle w:val="10"/>
                <w:b w:val="0"/>
              </w:rPr>
              <w:t>1.</w:t>
            </w:r>
          </w:p>
        </w:tc>
        <w:tc>
          <w:tcPr>
            <w:tcW w:w="7055" w:type="dxa"/>
            <w:gridSpan w:val="3"/>
            <w:noWrap/>
          </w:tcPr>
          <w:p w:rsidR="00D56C90" w:rsidRPr="00D56C90" w:rsidRDefault="00D56C90" w:rsidP="00D56C90">
            <w:pPr>
              <w:pStyle w:val="11"/>
              <w:tabs>
                <w:tab w:val="left" w:pos="1984"/>
              </w:tabs>
              <w:spacing w:before="0" w:beforeAutospacing="0" w:after="0" w:afterAutospacing="0"/>
              <w:rPr>
                <w:rStyle w:val="10"/>
              </w:rPr>
            </w:pPr>
            <w:r w:rsidRPr="00D56C90">
              <w:rPr>
                <w:rStyle w:val="10"/>
              </w:rPr>
              <w:t>Увеличение налоговых доходов</w:t>
            </w:r>
          </w:p>
        </w:tc>
        <w:tc>
          <w:tcPr>
            <w:tcW w:w="1701" w:type="dxa"/>
            <w:noWrap/>
          </w:tcPr>
          <w:p w:rsidR="00D56C90" w:rsidRPr="00D56C90" w:rsidRDefault="00D56C90">
            <w:pPr>
              <w:pStyle w:val="11"/>
              <w:rPr>
                <w:rStyle w:val="10"/>
                <w:b w:val="0"/>
              </w:rPr>
            </w:pPr>
          </w:p>
        </w:tc>
      </w:tr>
      <w:tr w:rsidR="008F44C3" w:rsidRPr="00D56C90" w:rsidTr="00E703A8">
        <w:tc>
          <w:tcPr>
            <w:tcW w:w="708" w:type="dxa"/>
            <w:noWrap/>
          </w:tcPr>
          <w:p w:rsidR="008F44C3" w:rsidRPr="00D56C90" w:rsidRDefault="008F44C3">
            <w:pPr>
              <w:pStyle w:val="11"/>
              <w:rPr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1.1</w:t>
            </w:r>
          </w:p>
        </w:tc>
        <w:tc>
          <w:tcPr>
            <w:tcW w:w="3653" w:type="dxa"/>
            <w:noWrap/>
          </w:tcPr>
          <w:p w:rsidR="008F44C3" w:rsidRPr="00D56C90" w:rsidRDefault="008F44C3">
            <w:pPr>
              <w:pStyle w:val="11"/>
              <w:jc w:val="both"/>
              <w:rPr>
                <w:rStyle w:val="10"/>
                <w:b w:val="0"/>
                <w:bCs w:val="0"/>
                <w:sz w:val="20"/>
                <w:szCs w:val="20"/>
              </w:rPr>
            </w:pPr>
            <w:r w:rsidRPr="00D56C90">
              <w:rPr>
                <w:rFonts w:eastAsia="Arial"/>
                <w:sz w:val="20"/>
                <w:szCs w:val="20"/>
              </w:rPr>
              <w:t>Осуществление мониторинга налоговых поступлений в местный бюджет</w:t>
            </w:r>
          </w:p>
        </w:tc>
        <w:tc>
          <w:tcPr>
            <w:tcW w:w="1701" w:type="dxa"/>
            <w:noWrap/>
          </w:tcPr>
          <w:p w:rsidR="008F44C3" w:rsidRPr="00D56C90" w:rsidRDefault="008F44C3">
            <w:pPr>
              <w:pStyle w:val="11"/>
              <w:rPr>
                <w:sz w:val="20"/>
                <w:szCs w:val="20"/>
              </w:rPr>
            </w:pPr>
            <w:r w:rsidRPr="00D56C90">
              <w:rPr>
                <w:rFonts w:eastAsia="Arial"/>
                <w:sz w:val="20"/>
                <w:szCs w:val="20"/>
              </w:rPr>
              <w:t>Ежемесячно</w:t>
            </w:r>
          </w:p>
          <w:p w:rsidR="008F44C3" w:rsidRPr="00D56C90" w:rsidRDefault="008F44C3">
            <w:pPr>
              <w:pStyle w:val="11"/>
              <w:rPr>
                <w:rStyle w:val="10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8F44C3" w:rsidRDefault="008F44C3">
            <w:r w:rsidRPr="00D43E92">
              <w:rPr>
                <w:rStyle w:val="10"/>
                <w:b w:val="0"/>
                <w:bCs w:val="0"/>
              </w:rPr>
              <w:t>Администрация</w:t>
            </w:r>
          </w:p>
        </w:tc>
        <w:tc>
          <w:tcPr>
            <w:tcW w:w="1701" w:type="dxa"/>
            <w:noWrap/>
          </w:tcPr>
          <w:p w:rsidR="008F44C3" w:rsidRPr="00D56C90" w:rsidRDefault="008F44C3">
            <w:pPr>
              <w:pStyle w:val="11"/>
              <w:rPr>
                <w:rStyle w:val="10"/>
                <w:b w:val="0"/>
                <w:bCs w:val="0"/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Установление максимально допустимых значений ставок</w:t>
            </w:r>
          </w:p>
        </w:tc>
      </w:tr>
      <w:tr w:rsidR="008F44C3" w:rsidRPr="00D56C90" w:rsidTr="00E703A8">
        <w:tc>
          <w:tcPr>
            <w:tcW w:w="708" w:type="dxa"/>
            <w:noWrap/>
          </w:tcPr>
          <w:p w:rsidR="008F44C3" w:rsidRPr="00D56C90" w:rsidRDefault="008F44C3">
            <w:pPr>
              <w:pStyle w:val="11"/>
              <w:rPr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1.2</w:t>
            </w:r>
          </w:p>
        </w:tc>
        <w:tc>
          <w:tcPr>
            <w:tcW w:w="3653" w:type="dxa"/>
            <w:noWrap/>
          </w:tcPr>
          <w:p w:rsidR="008F44C3" w:rsidRPr="00D56C90" w:rsidRDefault="008F44C3">
            <w:pPr>
              <w:pStyle w:val="11"/>
              <w:jc w:val="both"/>
              <w:rPr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Проведение  анализа предоставляемых льгот  по местным налогам с определением сумм выпадающих доходов бюджета</w:t>
            </w:r>
          </w:p>
        </w:tc>
        <w:tc>
          <w:tcPr>
            <w:tcW w:w="1701" w:type="dxa"/>
            <w:noWrap/>
          </w:tcPr>
          <w:p w:rsidR="008F44C3" w:rsidRPr="00D56C90" w:rsidRDefault="008F44C3">
            <w:pPr>
              <w:pStyle w:val="11"/>
              <w:rPr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До 01.08.2023</w:t>
            </w:r>
          </w:p>
        </w:tc>
        <w:tc>
          <w:tcPr>
            <w:tcW w:w="1701" w:type="dxa"/>
            <w:noWrap/>
          </w:tcPr>
          <w:p w:rsidR="008F44C3" w:rsidRDefault="008F44C3">
            <w:r w:rsidRPr="00D43E92">
              <w:rPr>
                <w:rStyle w:val="10"/>
                <w:b w:val="0"/>
                <w:bCs w:val="0"/>
              </w:rPr>
              <w:t>Администрация</w:t>
            </w:r>
          </w:p>
        </w:tc>
        <w:tc>
          <w:tcPr>
            <w:tcW w:w="1701" w:type="dxa"/>
            <w:noWrap/>
          </w:tcPr>
          <w:p w:rsidR="008F44C3" w:rsidRPr="00D56C90" w:rsidRDefault="008F44C3">
            <w:pPr>
              <w:pStyle w:val="11"/>
              <w:rPr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Исключение неэффективных налоговых льгот</w:t>
            </w:r>
          </w:p>
        </w:tc>
      </w:tr>
      <w:tr w:rsidR="008F44C3" w:rsidRPr="00D56C90" w:rsidTr="00E703A8">
        <w:tc>
          <w:tcPr>
            <w:tcW w:w="708" w:type="dxa"/>
            <w:noWrap/>
          </w:tcPr>
          <w:p w:rsidR="008F44C3" w:rsidRPr="00D56C90" w:rsidRDefault="008F44C3">
            <w:pPr>
              <w:pStyle w:val="11"/>
              <w:rPr>
                <w:rStyle w:val="10"/>
                <w:b w:val="0"/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1.3</w:t>
            </w:r>
          </w:p>
        </w:tc>
        <w:tc>
          <w:tcPr>
            <w:tcW w:w="3653" w:type="dxa"/>
            <w:noWrap/>
          </w:tcPr>
          <w:p w:rsidR="008F44C3" w:rsidRPr="00E703A8" w:rsidRDefault="008F44C3" w:rsidP="00E703A8">
            <w:pPr>
              <w:pStyle w:val="11"/>
              <w:jc w:val="both"/>
              <w:rPr>
                <w:rStyle w:val="10"/>
                <w:b w:val="0"/>
                <w:bCs w:val="0"/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 xml:space="preserve">Проведения анализа действующих ставок по земельному налогу и налогу на имущества физических лиц, </w:t>
            </w:r>
          </w:p>
        </w:tc>
        <w:tc>
          <w:tcPr>
            <w:tcW w:w="1701" w:type="dxa"/>
            <w:noWrap/>
          </w:tcPr>
          <w:p w:rsidR="008F44C3" w:rsidRPr="00D56C90" w:rsidRDefault="008F44C3">
            <w:pPr>
              <w:pStyle w:val="11"/>
              <w:rPr>
                <w:rStyle w:val="10"/>
                <w:b w:val="0"/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До 01.08.2023</w:t>
            </w:r>
          </w:p>
        </w:tc>
        <w:tc>
          <w:tcPr>
            <w:tcW w:w="1701" w:type="dxa"/>
            <w:noWrap/>
          </w:tcPr>
          <w:p w:rsidR="008F44C3" w:rsidRDefault="008F44C3">
            <w:r w:rsidRPr="00D43E92">
              <w:rPr>
                <w:rStyle w:val="10"/>
                <w:b w:val="0"/>
                <w:bCs w:val="0"/>
              </w:rPr>
              <w:t>Администрация</w:t>
            </w:r>
          </w:p>
        </w:tc>
        <w:tc>
          <w:tcPr>
            <w:tcW w:w="1701" w:type="dxa"/>
            <w:noWrap/>
          </w:tcPr>
          <w:p w:rsidR="008F44C3" w:rsidRPr="00D56C90" w:rsidRDefault="008F44C3">
            <w:pPr>
              <w:pStyle w:val="11"/>
              <w:rPr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Получение оперативной информации</w:t>
            </w:r>
          </w:p>
          <w:p w:rsidR="008F44C3" w:rsidRPr="00D56C90" w:rsidRDefault="008F44C3">
            <w:pPr>
              <w:pStyle w:val="11"/>
              <w:rPr>
                <w:rStyle w:val="10"/>
                <w:b w:val="0"/>
                <w:sz w:val="20"/>
                <w:szCs w:val="20"/>
              </w:rPr>
            </w:pPr>
          </w:p>
        </w:tc>
      </w:tr>
      <w:tr w:rsidR="008F44C3" w:rsidRPr="00D56C90" w:rsidTr="00E703A8">
        <w:tc>
          <w:tcPr>
            <w:tcW w:w="708" w:type="dxa"/>
            <w:noWrap/>
          </w:tcPr>
          <w:p w:rsidR="008F44C3" w:rsidRPr="00D56C90" w:rsidRDefault="008F44C3">
            <w:pPr>
              <w:pStyle w:val="11"/>
              <w:rPr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1.4</w:t>
            </w:r>
          </w:p>
        </w:tc>
        <w:tc>
          <w:tcPr>
            <w:tcW w:w="3653" w:type="dxa"/>
            <w:noWrap/>
          </w:tcPr>
          <w:p w:rsidR="008F44C3" w:rsidRPr="00D56C90" w:rsidRDefault="008F44C3">
            <w:pPr>
              <w:pStyle w:val="11"/>
              <w:jc w:val="both"/>
              <w:rPr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Внесение изменений в нормативные правовые акты  по установлению ставок по налогу на имущество физических лиц и земельному налогу, с учетом максимально допустимых значений</w:t>
            </w:r>
          </w:p>
        </w:tc>
        <w:tc>
          <w:tcPr>
            <w:tcW w:w="1701" w:type="dxa"/>
            <w:noWrap/>
          </w:tcPr>
          <w:p w:rsidR="008F44C3" w:rsidRPr="00D56C90" w:rsidRDefault="008F44C3">
            <w:pPr>
              <w:pStyle w:val="11"/>
              <w:rPr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До 01 декабря текущего года</w:t>
            </w:r>
          </w:p>
        </w:tc>
        <w:tc>
          <w:tcPr>
            <w:tcW w:w="1701" w:type="dxa"/>
            <w:noWrap/>
          </w:tcPr>
          <w:p w:rsidR="008F44C3" w:rsidRDefault="008F44C3">
            <w:r w:rsidRPr="00D43E92">
              <w:rPr>
                <w:rStyle w:val="10"/>
                <w:b w:val="0"/>
                <w:bCs w:val="0"/>
              </w:rPr>
              <w:t>Администрация</w:t>
            </w:r>
          </w:p>
        </w:tc>
        <w:tc>
          <w:tcPr>
            <w:tcW w:w="1701" w:type="dxa"/>
            <w:noWrap/>
          </w:tcPr>
          <w:p w:rsidR="008F44C3" w:rsidRPr="00D56C90" w:rsidRDefault="008F44C3">
            <w:pPr>
              <w:pStyle w:val="11"/>
              <w:rPr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Увеличение поступления доходов</w:t>
            </w:r>
          </w:p>
        </w:tc>
      </w:tr>
      <w:tr w:rsidR="008F44C3" w:rsidRPr="00D56C90" w:rsidTr="00E703A8">
        <w:trPr>
          <w:trHeight w:val="276"/>
        </w:trPr>
        <w:tc>
          <w:tcPr>
            <w:tcW w:w="708" w:type="dxa"/>
            <w:noWrap/>
          </w:tcPr>
          <w:p w:rsidR="008F44C3" w:rsidRPr="00D56C90" w:rsidRDefault="008F44C3">
            <w:pPr>
              <w:pStyle w:val="11"/>
              <w:rPr>
                <w:rStyle w:val="10"/>
                <w:b w:val="0"/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1.5</w:t>
            </w:r>
          </w:p>
        </w:tc>
        <w:tc>
          <w:tcPr>
            <w:tcW w:w="3653" w:type="dxa"/>
            <w:noWrap/>
          </w:tcPr>
          <w:p w:rsidR="008F44C3" w:rsidRPr="00D56C90" w:rsidRDefault="008F4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56C90">
              <w:rPr>
                <w:rFonts w:ascii="Times New Roman" w:hAnsi="Times New Roman" w:cs="Times New Roman"/>
              </w:rPr>
              <w:t>Осуществлять формирование и направление списков муниципальных служащих в налоговые органы для выявления задолженности по уплате налогов</w:t>
            </w:r>
            <w:r w:rsidRPr="00D56C90">
              <w:rPr>
                <w:rFonts w:ascii="Times New Roman" w:eastAsia="Arial" w:hAnsi="Times New Roman" w:cs="Times New Roman"/>
              </w:rPr>
              <w:t xml:space="preserve"> и проведение работы с выявленными неплательщиками по погашению задолженности</w:t>
            </w:r>
          </w:p>
        </w:tc>
        <w:tc>
          <w:tcPr>
            <w:tcW w:w="1701" w:type="dxa"/>
            <w:noWrap/>
          </w:tcPr>
          <w:p w:rsidR="008F44C3" w:rsidRPr="00D56C90" w:rsidRDefault="008F44C3">
            <w:pPr>
              <w:pStyle w:val="11"/>
              <w:rPr>
                <w:rStyle w:val="10"/>
                <w:b w:val="0"/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Ежегодно до 01 ноября</w:t>
            </w:r>
          </w:p>
        </w:tc>
        <w:tc>
          <w:tcPr>
            <w:tcW w:w="1701" w:type="dxa"/>
            <w:noWrap/>
          </w:tcPr>
          <w:p w:rsidR="008F44C3" w:rsidRDefault="008F44C3">
            <w:r w:rsidRPr="00D43E92">
              <w:rPr>
                <w:rStyle w:val="10"/>
                <w:b w:val="0"/>
                <w:bCs w:val="0"/>
              </w:rPr>
              <w:t>Администрация</w:t>
            </w:r>
          </w:p>
        </w:tc>
        <w:tc>
          <w:tcPr>
            <w:tcW w:w="1701" w:type="dxa"/>
            <w:noWrap/>
          </w:tcPr>
          <w:p w:rsidR="008F44C3" w:rsidRPr="00D56C90" w:rsidRDefault="008F44C3">
            <w:pPr>
              <w:pStyle w:val="11"/>
              <w:rPr>
                <w:rStyle w:val="10"/>
                <w:b w:val="0"/>
                <w:sz w:val="20"/>
                <w:szCs w:val="20"/>
              </w:rPr>
            </w:pPr>
          </w:p>
        </w:tc>
      </w:tr>
      <w:tr w:rsidR="008F44C3" w:rsidRPr="00D56C90" w:rsidTr="00E703A8">
        <w:tc>
          <w:tcPr>
            <w:tcW w:w="708" w:type="dxa"/>
            <w:noWrap/>
          </w:tcPr>
          <w:p w:rsidR="008F44C3" w:rsidRPr="00D56C90" w:rsidRDefault="008F44C3">
            <w:pPr>
              <w:pStyle w:val="11"/>
              <w:rPr>
                <w:rStyle w:val="10"/>
                <w:b w:val="0"/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1.6</w:t>
            </w:r>
          </w:p>
        </w:tc>
        <w:tc>
          <w:tcPr>
            <w:tcW w:w="3653" w:type="dxa"/>
            <w:noWrap/>
          </w:tcPr>
          <w:p w:rsidR="008F44C3" w:rsidRPr="00D56C90" w:rsidRDefault="008F44C3">
            <w:pPr>
              <w:pStyle w:val="11"/>
              <w:jc w:val="both"/>
              <w:rPr>
                <w:rStyle w:val="10"/>
                <w:b w:val="0"/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Проведение информационной кампании по привлечению граждан к уплате имущественных налогов</w:t>
            </w:r>
          </w:p>
        </w:tc>
        <w:tc>
          <w:tcPr>
            <w:tcW w:w="1701" w:type="dxa"/>
            <w:noWrap/>
          </w:tcPr>
          <w:p w:rsidR="008F44C3" w:rsidRPr="00D56C90" w:rsidRDefault="008F44C3">
            <w:pPr>
              <w:pStyle w:val="11"/>
              <w:rPr>
                <w:rStyle w:val="10"/>
                <w:b w:val="0"/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До 01 декабря текущего года</w:t>
            </w:r>
          </w:p>
        </w:tc>
        <w:tc>
          <w:tcPr>
            <w:tcW w:w="1701" w:type="dxa"/>
            <w:noWrap/>
          </w:tcPr>
          <w:p w:rsidR="008F44C3" w:rsidRDefault="008F44C3">
            <w:r w:rsidRPr="00D43E92">
              <w:rPr>
                <w:rStyle w:val="10"/>
                <w:b w:val="0"/>
                <w:bCs w:val="0"/>
              </w:rPr>
              <w:t>Администрация</w:t>
            </w:r>
          </w:p>
        </w:tc>
        <w:tc>
          <w:tcPr>
            <w:tcW w:w="1701" w:type="dxa"/>
            <w:noWrap/>
          </w:tcPr>
          <w:p w:rsidR="008F44C3" w:rsidRPr="00D56C90" w:rsidRDefault="008F44C3">
            <w:pPr>
              <w:pStyle w:val="11"/>
              <w:rPr>
                <w:rStyle w:val="10"/>
                <w:b w:val="0"/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Увеличение собираемости имущественных налогов в местный бюджет</w:t>
            </w:r>
          </w:p>
        </w:tc>
      </w:tr>
      <w:tr w:rsidR="00D56C90" w:rsidRPr="00D56C90" w:rsidTr="00E703A8">
        <w:tc>
          <w:tcPr>
            <w:tcW w:w="708" w:type="dxa"/>
            <w:noWrap/>
          </w:tcPr>
          <w:p w:rsidR="00D56C90" w:rsidRPr="00D56C90" w:rsidRDefault="00D56C90">
            <w:pPr>
              <w:pStyle w:val="11"/>
              <w:rPr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1.</w:t>
            </w:r>
            <w:r w:rsidR="00E703A8">
              <w:rPr>
                <w:rStyle w:val="10"/>
                <w:b w:val="0"/>
                <w:sz w:val="20"/>
                <w:szCs w:val="20"/>
              </w:rPr>
              <w:t>7</w:t>
            </w:r>
          </w:p>
        </w:tc>
        <w:tc>
          <w:tcPr>
            <w:tcW w:w="3653" w:type="dxa"/>
            <w:noWrap/>
          </w:tcPr>
          <w:p w:rsidR="00D56C90" w:rsidRPr="00D56C90" w:rsidRDefault="00D56C90">
            <w:pPr>
              <w:pStyle w:val="11"/>
              <w:jc w:val="both"/>
              <w:rPr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Проведение анализа качества и полноты сведений  о земельных участках и объектах недвижимости, принадлежащих гражданам расположенным на территории поселения, для принятия административных мер по их вовлечению в налоговый оборот</w:t>
            </w:r>
          </w:p>
        </w:tc>
        <w:tc>
          <w:tcPr>
            <w:tcW w:w="1701" w:type="dxa"/>
            <w:noWrap/>
          </w:tcPr>
          <w:p w:rsidR="00D56C90" w:rsidRPr="00D56C90" w:rsidRDefault="00D56C90">
            <w:pPr>
              <w:pStyle w:val="11"/>
              <w:rPr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noWrap/>
          </w:tcPr>
          <w:p w:rsidR="00D56C90" w:rsidRPr="00D56C90" w:rsidRDefault="00D56C90" w:rsidP="00D56C90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Администрация</w:t>
            </w:r>
          </w:p>
        </w:tc>
        <w:tc>
          <w:tcPr>
            <w:tcW w:w="1701" w:type="dxa"/>
            <w:noWrap/>
          </w:tcPr>
          <w:p w:rsidR="00D56C90" w:rsidRPr="00D56C90" w:rsidRDefault="00D56C90">
            <w:pPr>
              <w:pStyle w:val="11"/>
              <w:rPr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Увеличение поступления доходов</w:t>
            </w:r>
          </w:p>
        </w:tc>
      </w:tr>
      <w:tr w:rsidR="00D56C90" w:rsidRPr="00D56C90" w:rsidTr="00E703A8">
        <w:tc>
          <w:tcPr>
            <w:tcW w:w="708" w:type="dxa"/>
            <w:noWrap/>
          </w:tcPr>
          <w:p w:rsidR="00D56C90" w:rsidRPr="00D56C90" w:rsidRDefault="00D56C90">
            <w:pPr>
              <w:pStyle w:val="11"/>
              <w:rPr>
                <w:sz w:val="20"/>
                <w:szCs w:val="20"/>
              </w:rPr>
            </w:pPr>
            <w:r w:rsidRPr="00D56C90">
              <w:rPr>
                <w:sz w:val="20"/>
                <w:szCs w:val="20"/>
              </w:rPr>
              <w:t>1.</w:t>
            </w:r>
            <w:r w:rsidR="00E703A8">
              <w:rPr>
                <w:sz w:val="20"/>
                <w:szCs w:val="20"/>
              </w:rPr>
              <w:t>8</w:t>
            </w:r>
          </w:p>
        </w:tc>
        <w:tc>
          <w:tcPr>
            <w:tcW w:w="3653" w:type="dxa"/>
            <w:noWrap/>
          </w:tcPr>
          <w:p w:rsidR="00D56C90" w:rsidRPr="00D56C90" w:rsidRDefault="00D56C90">
            <w:pPr>
              <w:pStyle w:val="11"/>
              <w:jc w:val="both"/>
              <w:rPr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Проведение индивидуальной работы с населением и оказание практической помощи по вопросу оформления и государственной регистрации  земельных участков, жилых домов, хозяйственных построек и других объектов  частной собственности</w:t>
            </w:r>
          </w:p>
        </w:tc>
        <w:tc>
          <w:tcPr>
            <w:tcW w:w="1701" w:type="dxa"/>
            <w:noWrap/>
          </w:tcPr>
          <w:p w:rsidR="00D56C90" w:rsidRPr="00D56C90" w:rsidRDefault="00D56C90">
            <w:pPr>
              <w:pStyle w:val="11"/>
              <w:rPr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noWrap/>
          </w:tcPr>
          <w:p w:rsidR="00D56C90" w:rsidRPr="00D56C90" w:rsidRDefault="00D56C90" w:rsidP="00D56C90">
            <w:pPr>
              <w:pStyle w:val="11"/>
              <w:spacing w:before="0" w:beforeAutospacing="0" w:after="0" w:afterAutospacing="0"/>
              <w:rPr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Администрация</w:t>
            </w:r>
          </w:p>
        </w:tc>
        <w:tc>
          <w:tcPr>
            <w:tcW w:w="1701" w:type="dxa"/>
            <w:noWrap/>
          </w:tcPr>
          <w:p w:rsidR="00D56C90" w:rsidRPr="00D56C90" w:rsidRDefault="00D56C90">
            <w:pPr>
              <w:pStyle w:val="11"/>
              <w:rPr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Увеличение поступления доходов</w:t>
            </w:r>
          </w:p>
        </w:tc>
      </w:tr>
      <w:tr w:rsidR="00D56C90" w:rsidRPr="00D56C90" w:rsidTr="00E703A8">
        <w:trPr>
          <w:trHeight w:val="276"/>
        </w:trPr>
        <w:tc>
          <w:tcPr>
            <w:tcW w:w="708" w:type="dxa"/>
            <w:noWrap/>
          </w:tcPr>
          <w:p w:rsidR="00D56C90" w:rsidRPr="00D56C90" w:rsidRDefault="00D56C90">
            <w:pPr>
              <w:pStyle w:val="11"/>
              <w:rPr>
                <w:rStyle w:val="10"/>
                <w:b w:val="0"/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1.</w:t>
            </w:r>
            <w:r w:rsidR="00E703A8">
              <w:rPr>
                <w:rStyle w:val="10"/>
                <w:b w:val="0"/>
                <w:sz w:val="20"/>
                <w:szCs w:val="20"/>
              </w:rPr>
              <w:t>9</w:t>
            </w:r>
          </w:p>
        </w:tc>
        <w:tc>
          <w:tcPr>
            <w:tcW w:w="3653" w:type="dxa"/>
            <w:noWrap/>
          </w:tcPr>
          <w:p w:rsidR="00D56C90" w:rsidRPr="00D56C90" w:rsidRDefault="00D56C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56C90">
              <w:rPr>
                <w:rFonts w:ascii="Times New Roman" w:hAnsi="Times New Roman" w:cs="Times New Roman"/>
              </w:rPr>
              <w:t>Проведение работы по уточнению сведений о земельных участках (в части категории земель, видов разрешенного использования земельных участков, адресов земельных участков и расположенных на них объектов недвижимости и их правообладателей)</w:t>
            </w:r>
          </w:p>
        </w:tc>
        <w:tc>
          <w:tcPr>
            <w:tcW w:w="1701" w:type="dxa"/>
            <w:noWrap/>
          </w:tcPr>
          <w:p w:rsidR="00D56C90" w:rsidRPr="00D56C90" w:rsidRDefault="00D56C90">
            <w:pPr>
              <w:pStyle w:val="11"/>
              <w:rPr>
                <w:rStyle w:val="10"/>
                <w:b w:val="0"/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noWrap/>
          </w:tcPr>
          <w:p w:rsidR="00D56C90" w:rsidRPr="00D56C90" w:rsidRDefault="00D56C90" w:rsidP="00D56C90">
            <w:pPr>
              <w:pStyle w:val="11"/>
              <w:spacing w:before="0" w:beforeAutospacing="0" w:after="0" w:afterAutospacing="0"/>
              <w:rPr>
                <w:rStyle w:val="10"/>
                <w:b w:val="0"/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Администрация</w:t>
            </w:r>
          </w:p>
        </w:tc>
        <w:tc>
          <w:tcPr>
            <w:tcW w:w="1701" w:type="dxa"/>
            <w:noWrap/>
          </w:tcPr>
          <w:p w:rsidR="00D56C90" w:rsidRPr="00D56C90" w:rsidRDefault="00D56C90">
            <w:pPr>
              <w:pStyle w:val="11"/>
              <w:rPr>
                <w:rStyle w:val="10"/>
                <w:b w:val="0"/>
                <w:sz w:val="20"/>
                <w:szCs w:val="20"/>
              </w:rPr>
            </w:pPr>
          </w:p>
        </w:tc>
      </w:tr>
      <w:tr w:rsidR="00D56C90" w:rsidRPr="00D56C90" w:rsidTr="00E703A8">
        <w:tc>
          <w:tcPr>
            <w:tcW w:w="708" w:type="dxa"/>
            <w:noWrap/>
          </w:tcPr>
          <w:p w:rsidR="00D56C90" w:rsidRPr="00D56C90" w:rsidRDefault="00D56C90">
            <w:pPr>
              <w:pStyle w:val="11"/>
              <w:rPr>
                <w:rStyle w:val="10"/>
                <w:b w:val="0"/>
                <w:sz w:val="20"/>
                <w:szCs w:val="20"/>
              </w:rPr>
            </w:pPr>
            <w:r w:rsidRPr="00D56C90">
              <w:rPr>
                <w:sz w:val="20"/>
                <w:szCs w:val="20"/>
              </w:rPr>
              <w:t>1.</w:t>
            </w:r>
            <w:r w:rsidR="00E703A8">
              <w:rPr>
                <w:sz w:val="20"/>
                <w:szCs w:val="20"/>
              </w:rPr>
              <w:t>10</w:t>
            </w:r>
          </w:p>
        </w:tc>
        <w:tc>
          <w:tcPr>
            <w:tcW w:w="3653" w:type="dxa"/>
            <w:noWrap/>
          </w:tcPr>
          <w:p w:rsidR="00D56C90" w:rsidRPr="00D56C90" w:rsidRDefault="00D56C90">
            <w:pPr>
              <w:pStyle w:val="11"/>
              <w:rPr>
                <w:rStyle w:val="10"/>
                <w:b w:val="0"/>
                <w:sz w:val="20"/>
                <w:szCs w:val="20"/>
              </w:rPr>
            </w:pPr>
            <w:r w:rsidRPr="00D56C90">
              <w:rPr>
                <w:rFonts w:eastAsia="Arial"/>
                <w:sz w:val="20"/>
                <w:szCs w:val="20"/>
              </w:rPr>
              <w:t>Организация и проведение мероприятий по обеспечению ведения адресного реестра</w:t>
            </w:r>
          </w:p>
        </w:tc>
        <w:tc>
          <w:tcPr>
            <w:tcW w:w="1701" w:type="dxa"/>
            <w:noWrap/>
          </w:tcPr>
          <w:p w:rsidR="00D56C90" w:rsidRPr="00D56C90" w:rsidRDefault="00D56C90">
            <w:pPr>
              <w:pStyle w:val="11"/>
              <w:rPr>
                <w:rStyle w:val="10"/>
                <w:b w:val="0"/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noWrap/>
          </w:tcPr>
          <w:p w:rsidR="00D56C90" w:rsidRPr="00D56C90" w:rsidRDefault="00D56C90" w:rsidP="00D56C90">
            <w:pPr>
              <w:pStyle w:val="11"/>
              <w:spacing w:before="0" w:beforeAutospacing="0" w:after="0" w:afterAutospacing="0"/>
              <w:rPr>
                <w:rStyle w:val="10"/>
                <w:b w:val="0"/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Администрация</w:t>
            </w:r>
          </w:p>
        </w:tc>
        <w:tc>
          <w:tcPr>
            <w:tcW w:w="1701" w:type="dxa"/>
            <w:noWrap/>
          </w:tcPr>
          <w:p w:rsidR="00D56C90" w:rsidRPr="00D56C90" w:rsidRDefault="00D56C90">
            <w:pPr>
              <w:pStyle w:val="11"/>
              <w:rPr>
                <w:rStyle w:val="10"/>
                <w:b w:val="0"/>
                <w:sz w:val="20"/>
                <w:szCs w:val="20"/>
              </w:rPr>
            </w:pPr>
            <w:r w:rsidRPr="00D56C90">
              <w:rPr>
                <w:rStyle w:val="10"/>
                <w:b w:val="0"/>
                <w:sz w:val="20"/>
                <w:szCs w:val="20"/>
              </w:rPr>
              <w:t>Актуализированный реестр</w:t>
            </w:r>
          </w:p>
        </w:tc>
      </w:tr>
      <w:tr w:rsidR="00E703A8" w:rsidRPr="00D56C90" w:rsidTr="00952B58">
        <w:tc>
          <w:tcPr>
            <w:tcW w:w="708" w:type="dxa"/>
            <w:noWrap/>
          </w:tcPr>
          <w:p w:rsidR="00E703A8" w:rsidRPr="00D56C90" w:rsidRDefault="00E703A8">
            <w:pPr>
              <w:pStyle w:val="11"/>
              <w:rPr>
                <w:sz w:val="20"/>
                <w:szCs w:val="20"/>
              </w:rPr>
            </w:pPr>
            <w:r w:rsidRPr="00D56C90">
              <w:rPr>
                <w:rStyle w:val="10"/>
                <w:b w:val="0"/>
              </w:rPr>
              <w:t>2.</w:t>
            </w:r>
          </w:p>
        </w:tc>
        <w:tc>
          <w:tcPr>
            <w:tcW w:w="8756" w:type="dxa"/>
            <w:gridSpan w:val="4"/>
            <w:noWrap/>
          </w:tcPr>
          <w:p w:rsidR="00E703A8" w:rsidRPr="00D56C90" w:rsidRDefault="00E703A8">
            <w:pPr>
              <w:pStyle w:val="11"/>
              <w:rPr>
                <w:rStyle w:val="10"/>
                <w:b w:val="0"/>
                <w:sz w:val="20"/>
                <w:szCs w:val="20"/>
              </w:rPr>
            </w:pPr>
            <w:r w:rsidRPr="00D56C90">
              <w:rPr>
                <w:rStyle w:val="10"/>
              </w:rPr>
              <w:t>Повышение эффективности использования земельно-имущественного комплекса</w:t>
            </w:r>
          </w:p>
        </w:tc>
      </w:tr>
      <w:tr w:rsidR="008F44C3" w:rsidRPr="00D56C90" w:rsidTr="00E703A8">
        <w:tc>
          <w:tcPr>
            <w:tcW w:w="708" w:type="dxa"/>
            <w:noWrap/>
          </w:tcPr>
          <w:p w:rsidR="008F44C3" w:rsidRPr="00D56C90" w:rsidRDefault="008F44C3">
            <w:pPr>
              <w:pStyle w:val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653" w:type="dxa"/>
            <w:noWrap/>
          </w:tcPr>
          <w:p w:rsidR="008F44C3" w:rsidRPr="00D56C90" w:rsidRDefault="008F44C3">
            <w:pPr>
              <w:pStyle w:val="11"/>
              <w:rPr>
                <w:rFonts w:eastAsia="Arial"/>
                <w:sz w:val="20"/>
                <w:szCs w:val="20"/>
              </w:rPr>
            </w:pPr>
            <w:r w:rsidRPr="00E703A8">
              <w:rPr>
                <w:sz w:val="20"/>
                <w:szCs w:val="20"/>
              </w:rPr>
              <w:t>Осуществлять анализ поступления доходов от использования имущества, находящегося в собственности муниципального образования</w:t>
            </w:r>
          </w:p>
        </w:tc>
        <w:tc>
          <w:tcPr>
            <w:tcW w:w="1701" w:type="dxa"/>
            <w:noWrap/>
          </w:tcPr>
          <w:p w:rsidR="008F44C3" w:rsidRPr="00D56C90" w:rsidRDefault="008F44C3">
            <w:pPr>
              <w:pStyle w:val="11"/>
              <w:rPr>
                <w:rStyle w:val="10"/>
                <w:b w:val="0"/>
                <w:sz w:val="20"/>
                <w:szCs w:val="20"/>
              </w:rPr>
            </w:pPr>
            <w:r w:rsidRPr="00E703A8">
              <w:rPr>
                <w:rStyle w:val="10"/>
                <w:b w:val="0"/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noWrap/>
          </w:tcPr>
          <w:p w:rsidR="008F44C3" w:rsidRDefault="008F44C3">
            <w:r w:rsidRPr="00CF52EE">
              <w:rPr>
                <w:rStyle w:val="10"/>
                <w:b w:val="0"/>
                <w:bCs w:val="0"/>
              </w:rPr>
              <w:t>Администрация</w:t>
            </w:r>
          </w:p>
        </w:tc>
        <w:tc>
          <w:tcPr>
            <w:tcW w:w="1701" w:type="dxa"/>
            <w:noWrap/>
          </w:tcPr>
          <w:p w:rsidR="008F44C3" w:rsidRPr="00D56C90" w:rsidRDefault="008F44C3">
            <w:pPr>
              <w:pStyle w:val="11"/>
              <w:rPr>
                <w:rStyle w:val="10"/>
                <w:b w:val="0"/>
                <w:sz w:val="20"/>
                <w:szCs w:val="20"/>
              </w:rPr>
            </w:pPr>
          </w:p>
        </w:tc>
      </w:tr>
      <w:tr w:rsidR="008F44C3" w:rsidRPr="00D56C90" w:rsidTr="00E703A8">
        <w:tc>
          <w:tcPr>
            <w:tcW w:w="708" w:type="dxa"/>
            <w:noWrap/>
          </w:tcPr>
          <w:p w:rsidR="008F44C3" w:rsidRPr="00D56C90" w:rsidRDefault="008F44C3">
            <w:pPr>
              <w:pStyle w:val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653" w:type="dxa"/>
            <w:noWrap/>
          </w:tcPr>
          <w:p w:rsidR="008F44C3" w:rsidRPr="00D56C90" w:rsidRDefault="008F44C3">
            <w:pPr>
              <w:pStyle w:val="11"/>
              <w:rPr>
                <w:rFonts w:eastAsia="Arial"/>
                <w:sz w:val="20"/>
                <w:szCs w:val="20"/>
              </w:rPr>
            </w:pPr>
            <w:r w:rsidRPr="00E703A8">
              <w:rPr>
                <w:rFonts w:eastAsia="Arial"/>
                <w:sz w:val="20"/>
                <w:szCs w:val="20"/>
              </w:rPr>
              <w:t>Осуществление мероприятий по вовлечению в налогообложение земельных участков и объектов капитального строительства, находящихся на территории муниципального образования, документы на которые не оформлены в установленном порядке</w:t>
            </w:r>
          </w:p>
        </w:tc>
        <w:tc>
          <w:tcPr>
            <w:tcW w:w="1701" w:type="dxa"/>
            <w:noWrap/>
          </w:tcPr>
          <w:p w:rsidR="008F44C3" w:rsidRDefault="008F44C3">
            <w:r w:rsidRPr="00D92EA1">
              <w:rPr>
                <w:rStyle w:val="10"/>
                <w:b w:val="0"/>
              </w:rPr>
              <w:t>Постоянно</w:t>
            </w:r>
          </w:p>
        </w:tc>
        <w:tc>
          <w:tcPr>
            <w:tcW w:w="1701" w:type="dxa"/>
            <w:noWrap/>
          </w:tcPr>
          <w:p w:rsidR="008F44C3" w:rsidRDefault="008F44C3">
            <w:r w:rsidRPr="00CF52EE">
              <w:rPr>
                <w:rStyle w:val="10"/>
                <w:b w:val="0"/>
                <w:bCs w:val="0"/>
              </w:rPr>
              <w:t>Администрация</w:t>
            </w:r>
          </w:p>
        </w:tc>
        <w:tc>
          <w:tcPr>
            <w:tcW w:w="1701" w:type="dxa"/>
            <w:noWrap/>
          </w:tcPr>
          <w:p w:rsidR="008F44C3" w:rsidRPr="00D56C90" w:rsidRDefault="008F44C3">
            <w:pPr>
              <w:pStyle w:val="11"/>
              <w:rPr>
                <w:rStyle w:val="10"/>
                <w:b w:val="0"/>
                <w:sz w:val="20"/>
                <w:szCs w:val="20"/>
              </w:rPr>
            </w:pPr>
          </w:p>
        </w:tc>
      </w:tr>
      <w:tr w:rsidR="008F44C3" w:rsidRPr="00D56C90" w:rsidTr="00E703A8">
        <w:tc>
          <w:tcPr>
            <w:tcW w:w="708" w:type="dxa"/>
            <w:noWrap/>
          </w:tcPr>
          <w:p w:rsidR="008F44C3" w:rsidRPr="00D56C90" w:rsidRDefault="008F44C3">
            <w:pPr>
              <w:pStyle w:val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653" w:type="dxa"/>
            <w:noWrap/>
          </w:tcPr>
          <w:p w:rsidR="008F44C3" w:rsidRPr="00D56C90" w:rsidRDefault="008F44C3">
            <w:pPr>
              <w:pStyle w:val="11"/>
              <w:rPr>
                <w:rFonts w:eastAsia="Arial"/>
                <w:sz w:val="20"/>
                <w:szCs w:val="20"/>
              </w:rPr>
            </w:pPr>
            <w:r w:rsidRPr="00E703A8">
              <w:rPr>
                <w:rFonts w:eastAsia="Arial"/>
                <w:sz w:val="20"/>
                <w:szCs w:val="20"/>
              </w:rPr>
              <w:t>Выявление фактов неправомерного использования муниципального имущества (без правоустанавливающих документов), неэффективно используемого муниципального имущества, бесхозяйного имущества, проведение мероприятий по вовлечению в хозяйственный оборот, в целях повышения эффективности его</w:t>
            </w:r>
          </w:p>
        </w:tc>
        <w:tc>
          <w:tcPr>
            <w:tcW w:w="1701" w:type="dxa"/>
            <w:noWrap/>
          </w:tcPr>
          <w:p w:rsidR="008F44C3" w:rsidRDefault="008F44C3">
            <w:r w:rsidRPr="00D92EA1">
              <w:rPr>
                <w:rStyle w:val="10"/>
                <w:b w:val="0"/>
              </w:rPr>
              <w:t>Постоянно</w:t>
            </w:r>
          </w:p>
        </w:tc>
        <w:tc>
          <w:tcPr>
            <w:tcW w:w="1701" w:type="dxa"/>
            <w:noWrap/>
          </w:tcPr>
          <w:p w:rsidR="008F44C3" w:rsidRDefault="008F44C3">
            <w:r w:rsidRPr="00CF52EE">
              <w:rPr>
                <w:rStyle w:val="10"/>
                <w:b w:val="0"/>
                <w:bCs w:val="0"/>
              </w:rPr>
              <w:t>Администрация</w:t>
            </w:r>
          </w:p>
        </w:tc>
        <w:tc>
          <w:tcPr>
            <w:tcW w:w="1701" w:type="dxa"/>
            <w:noWrap/>
          </w:tcPr>
          <w:p w:rsidR="008F44C3" w:rsidRPr="00D56C90" w:rsidRDefault="008F44C3">
            <w:pPr>
              <w:pStyle w:val="11"/>
              <w:rPr>
                <w:rStyle w:val="10"/>
                <w:b w:val="0"/>
                <w:sz w:val="20"/>
                <w:szCs w:val="20"/>
              </w:rPr>
            </w:pPr>
          </w:p>
        </w:tc>
      </w:tr>
      <w:tr w:rsidR="008F44C3" w:rsidRPr="00D56C90" w:rsidTr="00E703A8">
        <w:tc>
          <w:tcPr>
            <w:tcW w:w="708" w:type="dxa"/>
            <w:noWrap/>
          </w:tcPr>
          <w:p w:rsidR="008F44C3" w:rsidRPr="00D56C90" w:rsidRDefault="008F44C3">
            <w:pPr>
              <w:pStyle w:val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653" w:type="dxa"/>
            <w:noWrap/>
          </w:tcPr>
          <w:p w:rsidR="008F44C3" w:rsidRPr="00D56C90" w:rsidRDefault="008F44C3">
            <w:pPr>
              <w:pStyle w:val="11"/>
              <w:rPr>
                <w:rFonts w:eastAsia="Arial"/>
                <w:sz w:val="20"/>
                <w:szCs w:val="20"/>
              </w:rPr>
            </w:pPr>
            <w:r w:rsidRPr="00E703A8">
              <w:rPr>
                <w:rFonts w:eastAsia="Arial"/>
                <w:sz w:val="20"/>
                <w:szCs w:val="20"/>
              </w:rPr>
              <w:t>Проведение работы по уточнению сведений о земельных участках и объектах капитального строительства (в части категории земель, видов разрешенного использования, адресов земельных участков и расположенных на них объектах недвижимости) в базах данных Управления Росреестра</w:t>
            </w:r>
          </w:p>
        </w:tc>
        <w:tc>
          <w:tcPr>
            <w:tcW w:w="1701" w:type="dxa"/>
            <w:noWrap/>
          </w:tcPr>
          <w:p w:rsidR="008F44C3" w:rsidRDefault="008F44C3">
            <w:r w:rsidRPr="00D92EA1">
              <w:rPr>
                <w:rStyle w:val="10"/>
                <w:b w:val="0"/>
              </w:rPr>
              <w:t>Постоянно</w:t>
            </w:r>
          </w:p>
        </w:tc>
        <w:tc>
          <w:tcPr>
            <w:tcW w:w="1701" w:type="dxa"/>
            <w:noWrap/>
          </w:tcPr>
          <w:p w:rsidR="008F44C3" w:rsidRDefault="008F44C3">
            <w:r w:rsidRPr="00CF52EE">
              <w:rPr>
                <w:rStyle w:val="10"/>
                <w:b w:val="0"/>
                <w:bCs w:val="0"/>
              </w:rPr>
              <w:t>Администрация</w:t>
            </w:r>
          </w:p>
        </w:tc>
        <w:tc>
          <w:tcPr>
            <w:tcW w:w="1701" w:type="dxa"/>
            <w:noWrap/>
          </w:tcPr>
          <w:p w:rsidR="008F44C3" w:rsidRPr="00D56C90" w:rsidRDefault="008F44C3">
            <w:pPr>
              <w:pStyle w:val="11"/>
              <w:rPr>
                <w:rStyle w:val="10"/>
                <w:b w:val="0"/>
                <w:sz w:val="20"/>
                <w:szCs w:val="20"/>
              </w:rPr>
            </w:pPr>
          </w:p>
        </w:tc>
      </w:tr>
      <w:tr w:rsidR="008F44C3" w:rsidRPr="00D56C90" w:rsidTr="00E703A8">
        <w:tc>
          <w:tcPr>
            <w:tcW w:w="708" w:type="dxa"/>
            <w:noWrap/>
          </w:tcPr>
          <w:p w:rsidR="008F44C3" w:rsidRPr="00D56C90" w:rsidRDefault="008F44C3">
            <w:pPr>
              <w:pStyle w:val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653" w:type="dxa"/>
            <w:noWrap/>
          </w:tcPr>
          <w:p w:rsidR="008F44C3" w:rsidRPr="00D56C90" w:rsidRDefault="008F44C3">
            <w:pPr>
              <w:pStyle w:val="11"/>
              <w:rPr>
                <w:rFonts w:eastAsia="Arial"/>
                <w:sz w:val="20"/>
                <w:szCs w:val="20"/>
              </w:rPr>
            </w:pPr>
            <w:r w:rsidRPr="00E703A8">
              <w:rPr>
                <w:rFonts w:eastAsia="Arial"/>
                <w:sz w:val="20"/>
                <w:szCs w:val="20"/>
              </w:rPr>
              <w:t>Выявление земельных участков, используемых без правоустанавливающих документов.</w:t>
            </w:r>
          </w:p>
        </w:tc>
        <w:tc>
          <w:tcPr>
            <w:tcW w:w="1701" w:type="dxa"/>
            <w:noWrap/>
          </w:tcPr>
          <w:p w:rsidR="008F44C3" w:rsidRDefault="008F44C3">
            <w:r w:rsidRPr="00D92EA1">
              <w:rPr>
                <w:rStyle w:val="10"/>
                <w:b w:val="0"/>
              </w:rPr>
              <w:t>Постоянно</w:t>
            </w:r>
          </w:p>
        </w:tc>
        <w:tc>
          <w:tcPr>
            <w:tcW w:w="1701" w:type="dxa"/>
            <w:noWrap/>
          </w:tcPr>
          <w:p w:rsidR="008F44C3" w:rsidRDefault="008F44C3">
            <w:r w:rsidRPr="00CF52EE">
              <w:rPr>
                <w:rStyle w:val="10"/>
                <w:b w:val="0"/>
                <w:bCs w:val="0"/>
              </w:rPr>
              <w:t>Администрация</w:t>
            </w:r>
          </w:p>
        </w:tc>
        <w:tc>
          <w:tcPr>
            <w:tcW w:w="1701" w:type="dxa"/>
            <w:noWrap/>
          </w:tcPr>
          <w:p w:rsidR="008F44C3" w:rsidRPr="00D56C90" w:rsidRDefault="008F44C3">
            <w:pPr>
              <w:pStyle w:val="11"/>
              <w:rPr>
                <w:rStyle w:val="10"/>
                <w:b w:val="0"/>
                <w:sz w:val="20"/>
                <w:szCs w:val="20"/>
              </w:rPr>
            </w:pPr>
          </w:p>
        </w:tc>
      </w:tr>
      <w:tr w:rsidR="008F44C3" w:rsidRPr="00D56C90" w:rsidTr="00E703A8">
        <w:tc>
          <w:tcPr>
            <w:tcW w:w="708" w:type="dxa"/>
            <w:noWrap/>
          </w:tcPr>
          <w:p w:rsidR="008F44C3" w:rsidRPr="00D56C90" w:rsidRDefault="008F44C3">
            <w:pPr>
              <w:pStyle w:val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3653" w:type="dxa"/>
            <w:noWrap/>
          </w:tcPr>
          <w:p w:rsidR="008F44C3" w:rsidRPr="00D56C90" w:rsidRDefault="008F44C3">
            <w:pPr>
              <w:pStyle w:val="11"/>
              <w:rPr>
                <w:rFonts w:eastAsia="Arial"/>
                <w:sz w:val="20"/>
                <w:szCs w:val="20"/>
              </w:rPr>
            </w:pPr>
            <w:r w:rsidRPr="00E703A8">
              <w:rPr>
                <w:rFonts w:eastAsia="Arial"/>
                <w:sz w:val="20"/>
                <w:szCs w:val="20"/>
              </w:rPr>
              <w:t>Побуждение правообладателей объектов недвижимости к осуществлению в установленном законодательством порядке регистрации прав на них (информирование в средствах массовой информации, в информационно-телекоммуникационной сети "Интернет", посредством письменных обращений в адрес правообладателей)</w:t>
            </w:r>
          </w:p>
        </w:tc>
        <w:tc>
          <w:tcPr>
            <w:tcW w:w="1701" w:type="dxa"/>
            <w:noWrap/>
          </w:tcPr>
          <w:p w:rsidR="008F44C3" w:rsidRDefault="008F44C3">
            <w:r w:rsidRPr="00D92EA1">
              <w:rPr>
                <w:rStyle w:val="10"/>
                <w:b w:val="0"/>
              </w:rPr>
              <w:t>Постоянно</w:t>
            </w:r>
          </w:p>
        </w:tc>
        <w:tc>
          <w:tcPr>
            <w:tcW w:w="1701" w:type="dxa"/>
            <w:noWrap/>
          </w:tcPr>
          <w:p w:rsidR="008F44C3" w:rsidRDefault="008F44C3">
            <w:r w:rsidRPr="00CF52EE">
              <w:rPr>
                <w:rStyle w:val="10"/>
                <w:b w:val="0"/>
                <w:bCs w:val="0"/>
              </w:rPr>
              <w:t>Администрация</w:t>
            </w:r>
          </w:p>
        </w:tc>
        <w:tc>
          <w:tcPr>
            <w:tcW w:w="1701" w:type="dxa"/>
            <w:noWrap/>
          </w:tcPr>
          <w:p w:rsidR="008F44C3" w:rsidRPr="00D56C90" w:rsidRDefault="008F44C3">
            <w:pPr>
              <w:pStyle w:val="11"/>
              <w:rPr>
                <w:rStyle w:val="10"/>
                <w:b w:val="0"/>
                <w:sz w:val="20"/>
                <w:szCs w:val="20"/>
              </w:rPr>
            </w:pPr>
          </w:p>
        </w:tc>
      </w:tr>
    </w:tbl>
    <w:p w:rsidR="005648E4" w:rsidRPr="00E703A8" w:rsidRDefault="005648E4">
      <w:pPr>
        <w:rPr>
          <w:sz w:val="20"/>
          <w:szCs w:val="20"/>
        </w:rPr>
      </w:pPr>
    </w:p>
    <w:sectPr w:rsidR="005648E4" w:rsidRPr="00E703A8" w:rsidSect="00D56C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52E" w:rsidRDefault="001C052E">
      <w:pPr>
        <w:spacing w:after="0" w:line="240" w:lineRule="auto"/>
      </w:pPr>
      <w:r>
        <w:separator/>
      </w:r>
    </w:p>
  </w:endnote>
  <w:endnote w:type="continuationSeparator" w:id="1">
    <w:p w:rsidR="001C052E" w:rsidRDefault="001C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52E" w:rsidRDefault="001C052E">
      <w:pPr>
        <w:spacing w:after="0" w:line="240" w:lineRule="auto"/>
      </w:pPr>
      <w:r>
        <w:separator/>
      </w:r>
    </w:p>
  </w:footnote>
  <w:footnote w:type="continuationSeparator" w:id="1">
    <w:p w:rsidR="001C052E" w:rsidRDefault="001C0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648E4"/>
    <w:rsid w:val="001C052E"/>
    <w:rsid w:val="005648E4"/>
    <w:rsid w:val="006527AD"/>
    <w:rsid w:val="00777739"/>
    <w:rsid w:val="008F44C3"/>
    <w:rsid w:val="00A54451"/>
    <w:rsid w:val="00D56C90"/>
    <w:rsid w:val="00E7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648E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648E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648E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648E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648E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648E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648E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648E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648E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5648E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648E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5648E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648E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5648E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648E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5648E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648E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648E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648E4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5648E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648E4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5648E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648E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648E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648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648E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648E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648E4"/>
  </w:style>
  <w:style w:type="paragraph" w:customStyle="1" w:styleId="Footer">
    <w:name w:val="Footer"/>
    <w:basedOn w:val="a"/>
    <w:link w:val="CaptionChar"/>
    <w:uiPriority w:val="99"/>
    <w:unhideWhenUsed/>
    <w:rsid w:val="005648E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648E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648E4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648E4"/>
  </w:style>
  <w:style w:type="table" w:styleId="a9">
    <w:name w:val="Table Grid"/>
    <w:basedOn w:val="a1"/>
    <w:uiPriority w:val="59"/>
    <w:rsid w:val="005648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648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648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648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648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648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648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648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648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648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648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648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648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648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648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648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648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648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648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5648E4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5648E4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648E4"/>
    <w:rPr>
      <w:sz w:val="18"/>
    </w:rPr>
  </w:style>
  <w:style w:type="character" w:styleId="ad">
    <w:name w:val="footnote reference"/>
    <w:uiPriority w:val="99"/>
    <w:unhideWhenUsed/>
    <w:rsid w:val="005648E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648E4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648E4"/>
    <w:rPr>
      <w:sz w:val="20"/>
    </w:rPr>
  </w:style>
  <w:style w:type="character" w:styleId="af0">
    <w:name w:val="endnote reference"/>
    <w:uiPriority w:val="99"/>
    <w:semiHidden/>
    <w:unhideWhenUsed/>
    <w:rsid w:val="005648E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648E4"/>
    <w:pPr>
      <w:spacing w:after="57"/>
    </w:pPr>
  </w:style>
  <w:style w:type="paragraph" w:styleId="21">
    <w:name w:val="toc 2"/>
    <w:basedOn w:val="a"/>
    <w:next w:val="a"/>
    <w:uiPriority w:val="39"/>
    <w:unhideWhenUsed/>
    <w:rsid w:val="005648E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648E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648E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648E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648E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648E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648E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648E4"/>
    <w:pPr>
      <w:spacing w:after="57"/>
      <w:ind w:left="2268"/>
    </w:pPr>
  </w:style>
  <w:style w:type="paragraph" w:styleId="af1">
    <w:name w:val="TOC Heading"/>
    <w:uiPriority w:val="39"/>
    <w:unhideWhenUsed/>
    <w:rsid w:val="005648E4"/>
  </w:style>
  <w:style w:type="paragraph" w:styleId="af2">
    <w:name w:val="table of figures"/>
    <w:basedOn w:val="a"/>
    <w:next w:val="a"/>
    <w:uiPriority w:val="99"/>
    <w:unhideWhenUsed/>
    <w:rsid w:val="005648E4"/>
    <w:pPr>
      <w:spacing w:after="0"/>
    </w:pPr>
  </w:style>
  <w:style w:type="paragraph" w:styleId="af3">
    <w:name w:val="No Spacing"/>
    <w:basedOn w:val="a"/>
    <w:uiPriority w:val="1"/>
    <w:qFormat/>
    <w:rsid w:val="005648E4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5648E4"/>
    <w:pPr>
      <w:ind w:left="720"/>
      <w:contextualSpacing/>
    </w:pPr>
  </w:style>
  <w:style w:type="character" w:customStyle="1" w:styleId="10">
    <w:name w:val="Строгий1"/>
    <w:rsid w:val="005648E4"/>
    <w:rPr>
      <w:b/>
      <w:bCs/>
    </w:rPr>
  </w:style>
  <w:style w:type="paragraph" w:customStyle="1" w:styleId="11">
    <w:name w:val="Обычный (веб)1"/>
    <w:next w:val="af3"/>
    <w:rsid w:val="005648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rsid w:val="005648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tcW w:w="0" w:type="auto"/>
    </w:tcPr>
  </w:style>
  <w:style w:type="paragraph" w:customStyle="1" w:styleId="ConsPlusNormal">
    <w:name w:val="ConsPlusNormal"/>
    <w:rsid w:val="005648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Татьяна</cp:lastModifiedBy>
  <cp:revision>16</cp:revision>
  <dcterms:created xsi:type="dcterms:W3CDTF">2023-03-02T04:37:00Z</dcterms:created>
  <dcterms:modified xsi:type="dcterms:W3CDTF">2023-03-14T05:53:00Z</dcterms:modified>
</cp:coreProperties>
</file>